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1470"/>
        <w:gridCol w:w="5040"/>
        <w:tblGridChange w:id="0">
          <w:tblGrid>
            <w:gridCol w:w="2865"/>
            <w:gridCol w:w="1470"/>
            <w:gridCol w:w="5040"/>
          </w:tblGrid>
        </w:tblGridChange>
      </w:tblGrid>
      <w:tr>
        <w:trPr>
          <w:cantSplit w:val="0"/>
          <w:tblHeader w:val="0"/>
        </w:trPr>
        <w:tc>
          <w:tcPr>
            <w:shd w:fill="38761d" w:val="clear"/>
          </w:tcPr>
          <w:p w:rsidR="00000000" w:rsidDel="00000000" w:rsidP="00000000" w:rsidRDefault="00000000" w:rsidRPr="00000000" w14:paraId="00000002">
            <w:pPr>
              <w:jc w:val="center"/>
              <w:rPr>
                <w:b w:val="1"/>
                <w:color w:val="ffffff"/>
                <w:sz w:val="24"/>
                <w:szCs w:val="24"/>
              </w:rPr>
            </w:pPr>
            <w:r w:rsidDel="00000000" w:rsidR="00000000" w:rsidRPr="00000000">
              <w:rPr>
                <w:b w:val="1"/>
                <w:color w:val="ffffff"/>
                <w:sz w:val="24"/>
                <w:szCs w:val="24"/>
                <w:rtl w:val="0"/>
              </w:rPr>
              <w:t xml:space="preserve">Discipline</w:t>
            </w:r>
          </w:p>
        </w:tc>
        <w:tc>
          <w:tcPr>
            <w:shd w:fill="38761d"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Credits</w:t>
            </w:r>
          </w:p>
        </w:tc>
        <w:tc>
          <w:tcPr>
            <w:shd w:fill="38761d" w:val="clear"/>
          </w:tcPr>
          <w:p w:rsidR="00000000" w:rsidDel="00000000" w:rsidP="00000000" w:rsidRDefault="00000000" w:rsidRPr="00000000" w14:paraId="00000004">
            <w:pPr>
              <w:jc w:val="center"/>
              <w:rPr>
                <w:b w:val="1"/>
                <w:color w:val="ffffff"/>
                <w:sz w:val="24"/>
                <w:szCs w:val="24"/>
              </w:rPr>
            </w:pPr>
            <w:r w:rsidDel="00000000" w:rsidR="00000000" w:rsidRPr="00000000">
              <w:rPr>
                <w:b w:val="1"/>
                <w:color w:val="ffffff"/>
                <w:sz w:val="24"/>
                <w:szCs w:val="24"/>
                <w:rtl w:val="0"/>
              </w:rPr>
              <w:t xml:space="preserve">Course Descriptions</w:t>
            </w:r>
          </w:p>
        </w:tc>
      </w:tr>
      <w:tr>
        <w:trPr>
          <w:cantSplit w:val="0"/>
          <w:trHeight w:val="200" w:hRule="atLeast"/>
          <w:tblHeader w:val="0"/>
        </w:trPr>
        <w:tc>
          <w:tcPr>
            <w:gridSpan w:val="3"/>
            <w:shd w:fill="d9ead3" w:val="clear"/>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The Art of Language and Ideas</w:t>
            </w:r>
          </w:p>
          <w:p w:rsidR="00000000" w:rsidDel="00000000" w:rsidP="00000000" w:rsidRDefault="00000000" w:rsidRPr="00000000" w14:paraId="00000006">
            <w:pPr>
              <w:jc w:val="center"/>
              <w:rPr>
                <w:b w:val="1"/>
                <w:sz w:val="24"/>
                <w:szCs w:val="24"/>
              </w:rPr>
            </w:pPr>
            <w:r w:rsidDel="00000000" w:rsidR="00000000" w:rsidRPr="00000000">
              <w:rPr>
                <w:b w:val="1"/>
                <w:sz w:val="24"/>
                <w:szCs w:val="24"/>
                <w:highlight w:val="yellow"/>
                <w:rtl w:val="0"/>
              </w:rPr>
              <w:t xml:space="preserve">(6 Credits)</w:t>
            </w:r>
            <w:r w:rsidDel="00000000" w:rsidR="00000000" w:rsidRPr="00000000">
              <w:rPr>
                <w:rtl w:val="0"/>
              </w:rPr>
            </w:r>
          </w:p>
        </w:tc>
      </w:tr>
      <w:tr>
        <w:trPr>
          <w:cantSplit w:val="0"/>
          <w:tblHeader w:val="0"/>
        </w:trPr>
        <w:tc>
          <w:tcPr/>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ENG 101</w:t>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Writing &amp; Research</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3 </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Practice in formulating the thesis statement, outlining, sentence construction, paragraph and essay development, and responsible research techniques. Frequent paragraphs, essays, revisions, and a research paper.</w:t>
            </w:r>
          </w:p>
        </w:tc>
      </w:tr>
      <w:tr>
        <w:trPr>
          <w:cantSplit w:val="0"/>
          <w:tblHeader w:val="0"/>
        </w:trPr>
        <w:tc>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ENG 102</w:t>
            </w:r>
          </w:p>
          <w:p w:rsidR="00000000" w:rsidDel="00000000" w:rsidP="00000000" w:rsidRDefault="00000000" w:rsidRPr="00000000" w14:paraId="0000000E">
            <w:pPr>
              <w:jc w:val="center"/>
              <w:rPr>
                <w:sz w:val="20"/>
                <w:szCs w:val="20"/>
              </w:rPr>
            </w:pPr>
            <w:r w:rsidDel="00000000" w:rsidR="00000000" w:rsidRPr="00000000">
              <w:rPr>
                <w:b w:val="1"/>
                <w:sz w:val="20"/>
                <w:szCs w:val="20"/>
                <w:rtl w:val="0"/>
              </w:rPr>
              <w:t xml:space="preserve">Introduction to Literary Genres</w:t>
            </w:r>
            <w:r w:rsidDel="00000000" w:rsidR="00000000" w:rsidRPr="00000000">
              <w:rPr>
                <w:rtl w:val="0"/>
              </w:rPr>
            </w:r>
          </w:p>
        </w:tc>
        <w:tc>
          <w:tcPr/>
          <w:p w:rsidR="00000000" w:rsidDel="00000000" w:rsidP="00000000" w:rsidRDefault="00000000" w:rsidRPr="00000000" w14:paraId="0000000F">
            <w:pPr>
              <w:rPr>
                <w:sz w:val="20"/>
                <w:szCs w:val="20"/>
              </w:rPr>
            </w:pPr>
            <w:r w:rsidDel="00000000" w:rsidR="00000000" w:rsidRPr="00000000">
              <w:rPr>
                <w:sz w:val="20"/>
                <w:szCs w:val="20"/>
                <w:rtl w:val="0"/>
              </w:rPr>
              <w:t xml:space="preserve">3 </w:t>
            </w:r>
          </w:p>
        </w:tc>
        <w:tc>
          <w:tcPr/>
          <w:p w:rsidR="00000000" w:rsidDel="00000000" w:rsidP="00000000" w:rsidRDefault="00000000" w:rsidRPr="00000000" w14:paraId="00000010">
            <w:pPr>
              <w:rPr>
                <w:sz w:val="20"/>
                <w:szCs w:val="20"/>
              </w:rPr>
            </w:pPr>
            <w:r w:rsidDel="00000000" w:rsidR="00000000" w:rsidRPr="00000000">
              <w:rPr>
                <w:sz w:val="20"/>
                <w:szCs w:val="20"/>
                <w:rtl w:val="0"/>
              </w:rPr>
              <w:t xml:space="preserve">Introduction to the three major literary genres and the techniques of literary analysis to heighten the student’s appreciation and enjoyment of fiction, drama, and poetry. Continued emphasis on effective writing. Quizzes, essay examinations, critical essays.</w:t>
            </w:r>
          </w:p>
        </w:tc>
      </w:tr>
      <w:tr>
        <w:trPr>
          <w:cantSplit w:val="0"/>
          <w:tblHeader w:val="0"/>
        </w:trPr>
        <w:tc>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COMM 101</w:t>
            </w:r>
          </w:p>
          <w:p w:rsidR="00000000" w:rsidDel="00000000" w:rsidP="00000000" w:rsidRDefault="00000000" w:rsidRPr="00000000" w14:paraId="00000012">
            <w:pPr>
              <w:jc w:val="center"/>
              <w:rPr>
                <w:sz w:val="20"/>
                <w:szCs w:val="20"/>
              </w:rPr>
            </w:pPr>
            <w:r w:rsidDel="00000000" w:rsidR="00000000" w:rsidRPr="00000000">
              <w:rPr>
                <w:b w:val="1"/>
                <w:sz w:val="20"/>
                <w:szCs w:val="20"/>
                <w:rtl w:val="0"/>
              </w:rPr>
              <w:t xml:space="preserve">Introduction to Public Speaking</w:t>
            </w:r>
            <w:r w:rsidDel="00000000" w:rsidR="00000000" w:rsidRPr="00000000">
              <w:rPr>
                <w:rtl w:val="0"/>
              </w:rPr>
            </w:r>
          </w:p>
        </w:tc>
        <w:tc>
          <w:tcPr/>
          <w:p w:rsidR="00000000" w:rsidDel="00000000" w:rsidP="00000000" w:rsidRDefault="00000000" w:rsidRPr="00000000" w14:paraId="00000013">
            <w:pPr>
              <w:rPr>
                <w:sz w:val="20"/>
                <w:szCs w:val="20"/>
              </w:rPr>
            </w:pPr>
            <w:r w:rsidDel="00000000" w:rsidR="00000000" w:rsidRPr="00000000">
              <w:rPr>
                <w:rtl w:val="0"/>
              </w:rPr>
            </w:r>
          </w:p>
        </w:tc>
        <w:tc>
          <w:tcPr/>
          <w:p w:rsidR="00000000" w:rsidDel="00000000" w:rsidP="00000000" w:rsidRDefault="00000000" w:rsidRPr="00000000" w14:paraId="00000014">
            <w:pPr>
              <w:rPr>
                <w:sz w:val="18"/>
                <w:szCs w:val="18"/>
                <w:shd w:fill="cccccc" w:val="clear"/>
              </w:rPr>
            </w:pPr>
            <w:r w:rsidDel="00000000" w:rsidR="00000000" w:rsidRPr="00000000">
              <w:rPr>
                <w:sz w:val="18"/>
                <w:szCs w:val="18"/>
                <w:rtl w:val="0"/>
              </w:rPr>
              <w:t xml:space="preserve">A practical course in preparing and delivering speeches.  The development of a basic idea by research and thought as well as its preparation, organization, and delivery style are stressed.  Additional historical background as well as material addressing perception, language, listening, audiences, and non-verbal communication is covered.</w:t>
            </w:r>
            <w:r w:rsidDel="00000000" w:rsidR="00000000" w:rsidRPr="00000000">
              <w:rPr>
                <w:rtl w:val="0"/>
              </w:rPr>
            </w:r>
          </w:p>
        </w:tc>
      </w:tr>
      <w:tr>
        <w:trPr>
          <w:cantSplit w:val="0"/>
          <w:trHeight w:val="200" w:hRule="atLeast"/>
          <w:tblHeader w:val="0"/>
        </w:trPr>
        <w:tc>
          <w:tcPr>
            <w:gridSpan w:val="3"/>
            <w:shd w:fill="d9ead3" w:val="clea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The Language and History of Fine Arts</w:t>
            </w:r>
          </w:p>
          <w:p w:rsidR="00000000" w:rsidDel="00000000" w:rsidP="00000000" w:rsidRDefault="00000000" w:rsidRPr="00000000" w14:paraId="00000016">
            <w:pPr>
              <w:jc w:val="center"/>
              <w:rPr>
                <w:sz w:val="24"/>
                <w:szCs w:val="24"/>
              </w:rPr>
            </w:pPr>
            <w:r w:rsidDel="00000000" w:rsidR="00000000" w:rsidRPr="00000000">
              <w:rPr>
                <w:b w:val="1"/>
                <w:sz w:val="24"/>
                <w:szCs w:val="24"/>
                <w:highlight w:val="yellow"/>
                <w:rtl w:val="0"/>
              </w:rPr>
              <w:t xml:space="preserve">(Choose 1 Course - 3 Credits</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0"/>
                <w:szCs w:val="20"/>
                <w:shd w:fill="cccccc" w:val="clear"/>
              </w:rPr>
            </w:pPr>
            <w:r w:rsidDel="00000000" w:rsidR="00000000" w:rsidRPr="00000000">
              <w:rPr>
                <w:sz w:val="20"/>
                <w:szCs w:val="20"/>
                <w:rtl w:val="0"/>
              </w:rPr>
              <w:t xml:space="preserve">Art 201</w:t>
            </w:r>
            <w:r w:rsidDel="00000000" w:rsidR="00000000" w:rsidRPr="00000000">
              <w:rPr>
                <w:rtl w:val="0"/>
              </w:rPr>
            </w:r>
          </w:p>
          <w:p w:rsidR="00000000" w:rsidDel="00000000" w:rsidP="00000000" w:rsidRDefault="00000000" w:rsidRPr="00000000" w14:paraId="0000001A">
            <w:pPr>
              <w:jc w:val="center"/>
              <w:rPr>
                <w:b w:val="1"/>
                <w:sz w:val="20"/>
                <w:szCs w:val="20"/>
              </w:rPr>
            </w:pPr>
            <w:r w:rsidDel="00000000" w:rsidR="00000000" w:rsidRPr="00000000">
              <w:rPr>
                <w:b w:val="1"/>
                <w:sz w:val="20"/>
                <w:szCs w:val="20"/>
                <w:rtl w:val="0"/>
              </w:rPr>
              <w:t xml:space="preserve">Art History Survey</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 3 </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A history of architecture, sculpture, and the pictorial world arts. The first semester deals with prehistoric through Gothic art; the second semester, Renaissance through modern art. It is not necessary for the semesters to be taken in chronological order.</w:t>
            </w:r>
          </w:p>
        </w:tc>
      </w:tr>
      <w:tr>
        <w:trPr>
          <w:cantSplit w:val="0"/>
          <w:tblHeader w:val="0"/>
        </w:trPr>
        <w:tc>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Art 202</w:t>
            </w:r>
          </w:p>
          <w:p w:rsidR="00000000" w:rsidDel="00000000" w:rsidP="00000000" w:rsidRDefault="00000000" w:rsidRPr="00000000" w14:paraId="0000001E">
            <w:pPr>
              <w:jc w:val="center"/>
              <w:rPr>
                <w:b w:val="1"/>
                <w:sz w:val="20"/>
                <w:szCs w:val="20"/>
              </w:rPr>
            </w:pPr>
            <w:r w:rsidDel="00000000" w:rsidR="00000000" w:rsidRPr="00000000">
              <w:rPr>
                <w:b w:val="1"/>
                <w:sz w:val="20"/>
                <w:szCs w:val="20"/>
                <w:rtl w:val="0"/>
              </w:rPr>
              <w:t xml:space="preserve">Art History Survey</w:t>
            </w:r>
          </w:p>
          <w:p w:rsidR="00000000" w:rsidDel="00000000" w:rsidP="00000000" w:rsidRDefault="00000000" w:rsidRPr="00000000" w14:paraId="0000001F">
            <w:pPr>
              <w:jc w:val="center"/>
              <w:rPr>
                <w:sz w:val="20"/>
                <w:szCs w:val="20"/>
              </w:rPr>
            </w:pPr>
            <w:r w:rsidDel="00000000" w:rsidR="00000000" w:rsidRPr="00000000">
              <w:rPr>
                <w:rtl w:val="0"/>
              </w:rPr>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A history of architecture, sculpture, and the pictorial world arts. The first semester deals with prehistoric through Gothic art; the second semester, Renaissance through modern art. It is not necessary for the semesters to be taken in chronological order.</w:t>
            </w:r>
          </w:p>
        </w:tc>
      </w:tr>
      <w:tr>
        <w:trPr>
          <w:cantSplit w:val="0"/>
          <w:tblHeader w:val="0"/>
        </w:trPr>
        <w:tc>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MUS 103</w:t>
            </w:r>
          </w:p>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Music Appreciation</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Important in the general education of the college student who is nonmusic major, the course provides the foundation for a lifetime of broadening experiences in the enjoyment of music. The course presents the element, structure, and history of music with major emphasis on developing listening skills and acquiring a basic repertoire of varied examples of music literature.</w:t>
            </w:r>
          </w:p>
        </w:tc>
      </w:tr>
      <w:tr>
        <w:trPr>
          <w:cantSplit w:val="0"/>
          <w:tblHeader w:val="0"/>
        </w:trPr>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THEA 201</w:t>
            </w:r>
          </w:p>
          <w:p w:rsidR="00000000" w:rsidDel="00000000" w:rsidP="00000000" w:rsidRDefault="00000000" w:rsidRPr="00000000" w14:paraId="00000027">
            <w:pPr>
              <w:jc w:val="center"/>
              <w:rPr>
                <w:b w:val="1"/>
                <w:sz w:val="20"/>
                <w:szCs w:val="20"/>
              </w:rPr>
            </w:pPr>
            <w:r w:rsidDel="00000000" w:rsidR="00000000" w:rsidRPr="00000000">
              <w:rPr>
                <w:b w:val="1"/>
                <w:sz w:val="20"/>
                <w:szCs w:val="20"/>
                <w:rtl w:val="0"/>
              </w:rPr>
              <w:t xml:space="preserve">Theatre:  A Contemporary &amp; Historical Introduction</w:t>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An analytical approach to the understanding and appreciation of theatre as an art form. The course is designed for both prospective theatre majors and non- theatre students who wish to improve their understanding of theatre, both historically and aesthetically. The course will consist of lecture and discussion sessions concerning the major historic periods in theatre, with representative plays being studied. No acting is required for this class.</w:t>
            </w:r>
          </w:p>
        </w:tc>
      </w:tr>
    </w:tbl>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2"/>
        <w:tblW w:w="94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005"/>
        <w:gridCol w:w="5670"/>
        <w:tblGridChange w:id="0">
          <w:tblGrid>
            <w:gridCol w:w="2790"/>
            <w:gridCol w:w="1005"/>
            <w:gridCol w:w="5670"/>
          </w:tblGrid>
        </w:tblGridChange>
      </w:tblGrid>
      <w:tr>
        <w:trPr>
          <w:cantSplit w:val="0"/>
          <w:tblHeader w:val="0"/>
        </w:trPr>
        <w:tc>
          <w:tcPr>
            <w:shd w:fill="38761d" w:val="clear"/>
          </w:tcPr>
          <w:p w:rsidR="00000000" w:rsidDel="00000000" w:rsidP="00000000" w:rsidRDefault="00000000" w:rsidRPr="00000000" w14:paraId="0000002F">
            <w:pPr>
              <w:jc w:val="center"/>
              <w:rPr>
                <w:b w:val="1"/>
                <w:color w:val="ffffff"/>
                <w:sz w:val="24"/>
                <w:szCs w:val="24"/>
              </w:rPr>
            </w:pPr>
            <w:r w:rsidDel="00000000" w:rsidR="00000000" w:rsidRPr="00000000">
              <w:rPr>
                <w:b w:val="1"/>
                <w:color w:val="ffffff"/>
                <w:sz w:val="24"/>
                <w:szCs w:val="24"/>
                <w:rtl w:val="0"/>
              </w:rPr>
              <w:t xml:space="preserve">Discipline</w:t>
            </w:r>
          </w:p>
        </w:tc>
        <w:tc>
          <w:tcPr>
            <w:shd w:fill="38761d" w:val="clear"/>
          </w:tcPr>
          <w:p w:rsidR="00000000" w:rsidDel="00000000" w:rsidP="00000000" w:rsidRDefault="00000000" w:rsidRPr="00000000" w14:paraId="00000030">
            <w:pPr>
              <w:rPr>
                <w:b w:val="1"/>
                <w:color w:val="ffffff"/>
                <w:sz w:val="24"/>
                <w:szCs w:val="24"/>
              </w:rPr>
            </w:pPr>
            <w:r w:rsidDel="00000000" w:rsidR="00000000" w:rsidRPr="00000000">
              <w:rPr>
                <w:b w:val="1"/>
                <w:color w:val="ffffff"/>
                <w:sz w:val="24"/>
                <w:szCs w:val="24"/>
                <w:rtl w:val="0"/>
              </w:rPr>
              <w:t xml:space="preserve">Credits</w:t>
            </w:r>
          </w:p>
        </w:tc>
        <w:tc>
          <w:tcPr>
            <w:shd w:fill="38761d" w:val="clear"/>
          </w:tcPr>
          <w:p w:rsidR="00000000" w:rsidDel="00000000" w:rsidP="00000000" w:rsidRDefault="00000000" w:rsidRPr="00000000" w14:paraId="00000031">
            <w:pPr>
              <w:jc w:val="center"/>
              <w:rPr>
                <w:b w:val="1"/>
                <w:color w:val="ffffff"/>
                <w:sz w:val="24"/>
                <w:szCs w:val="24"/>
              </w:rPr>
            </w:pPr>
            <w:r w:rsidDel="00000000" w:rsidR="00000000" w:rsidRPr="00000000">
              <w:rPr>
                <w:b w:val="1"/>
                <w:color w:val="ffffff"/>
                <w:sz w:val="24"/>
                <w:szCs w:val="24"/>
                <w:rtl w:val="0"/>
              </w:rPr>
              <w:t xml:space="preserve">Course Descriptions</w:t>
            </w:r>
          </w:p>
        </w:tc>
      </w:tr>
      <w:tr>
        <w:trPr>
          <w:cantSplit w:val="0"/>
          <w:trHeight w:val="200" w:hRule="atLeast"/>
          <w:tblHeader w:val="0"/>
        </w:trPr>
        <w:tc>
          <w:tcPr>
            <w:gridSpan w:val="3"/>
            <w:shd w:fill="d9ead3" w:val="clear"/>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The Human Experience </w:t>
            </w:r>
          </w:p>
          <w:p w:rsidR="00000000" w:rsidDel="00000000" w:rsidP="00000000" w:rsidRDefault="00000000" w:rsidRPr="00000000" w14:paraId="00000033">
            <w:pPr>
              <w:jc w:val="center"/>
              <w:rPr>
                <w:b w:val="1"/>
                <w:sz w:val="24"/>
                <w:szCs w:val="24"/>
              </w:rPr>
            </w:pPr>
            <w:r w:rsidDel="00000000" w:rsidR="00000000" w:rsidRPr="00000000">
              <w:rPr>
                <w:b w:val="1"/>
                <w:sz w:val="24"/>
                <w:szCs w:val="24"/>
                <w:highlight w:val="yellow"/>
                <w:rtl w:val="0"/>
              </w:rPr>
              <w:t xml:space="preserve">(9 Credits)</w:t>
            </w: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PSY 201</w:t>
            </w:r>
          </w:p>
          <w:p w:rsidR="00000000" w:rsidDel="00000000" w:rsidP="00000000" w:rsidRDefault="00000000" w:rsidRPr="00000000" w14:paraId="00000037">
            <w:pPr>
              <w:jc w:val="center"/>
              <w:rPr>
                <w:b w:val="1"/>
                <w:sz w:val="20"/>
                <w:szCs w:val="20"/>
              </w:rPr>
            </w:pPr>
            <w:r w:rsidDel="00000000" w:rsidR="00000000" w:rsidRPr="00000000">
              <w:rPr>
                <w:b w:val="1"/>
                <w:sz w:val="20"/>
                <w:szCs w:val="20"/>
                <w:rtl w:val="0"/>
              </w:rPr>
              <w:t xml:space="preserve">General Psychology</w:t>
            </w:r>
          </w:p>
        </w:tc>
        <w:tc>
          <w:tcPr/>
          <w:p w:rsidR="00000000" w:rsidDel="00000000" w:rsidP="00000000" w:rsidRDefault="00000000" w:rsidRPr="00000000" w14:paraId="00000038">
            <w:pPr>
              <w:jc w:val="center"/>
              <w:rPr>
                <w:b w:val="1"/>
                <w:sz w:val="20"/>
                <w:szCs w:val="20"/>
              </w:rPr>
            </w:pPr>
            <w:r w:rsidDel="00000000" w:rsidR="00000000" w:rsidRPr="00000000">
              <w:rPr>
                <w:b w:val="1"/>
                <w:sz w:val="20"/>
                <w:szCs w:val="20"/>
                <w:rtl w:val="0"/>
              </w:rPr>
              <w:t xml:space="preserve">3 </w:t>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Basic principles of psychology as a behavioral social science. The course includes the study of psychology in everyday life, as a basic and applied science, the theoretical approaches, and as a profession. Topics covered in the first semester (201) are learning and thinking processes, workings of the mind and body, awareness of the world, motivation, emotion, states of consciousness and human development. The second semester (202) includes such topics as human relations, theories of personality, positive adjustment to contemporary society, disorders, therapy and change, psychological testing and applications of psychology. </w:t>
            </w:r>
          </w:p>
        </w:tc>
      </w:tr>
      <w:tr>
        <w:trPr>
          <w:cantSplit w:val="0"/>
          <w:tblHeader w:val="0"/>
        </w:trPr>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PSY 250</w:t>
            </w:r>
          </w:p>
          <w:p w:rsidR="00000000" w:rsidDel="00000000" w:rsidP="00000000" w:rsidRDefault="00000000" w:rsidRPr="00000000" w14:paraId="0000003B">
            <w:pPr>
              <w:jc w:val="center"/>
              <w:rPr>
                <w:b w:val="1"/>
                <w:sz w:val="20"/>
                <w:szCs w:val="20"/>
              </w:rPr>
            </w:pPr>
            <w:r w:rsidDel="00000000" w:rsidR="00000000" w:rsidRPr="00000000">
              <w:rPr>
                <w:b w:val="1"/>
                <w:sz w:val="20"/>
                <w:szCs w:val="20"/>
                <w:rtl w:val="0"/>
              </w:rPr>
              <w:t xml:space="preserve">Developmental Psychology</w:t>
            </w:r>
          </w:p>
        </w:tc>
        <w:tc>
          <w:tcPr/>
          <w:p w:rsidR="00000000" w:rsidDel="00000000" w:rsidP="00000000" w:rsidRDefault="00000000" w:rsidRPr="00000000" w14:paraId="0000003C">
            <w:pPr>
              <w:jc w:val="center"/>
              <w:rPr>
                <w:b w:val="1"/>
                <w:sz w:val="20"/>
                <w:szCs w:val="20"/>
              </w:rPr>
            </w:pPr>
            <w:r w:rsidDel="00000000" w:rsidR="00000000" w:rsidRPr="00000000">
              <w:rPr>
                <w:b w:val="1"/>
                <w:sz w:val="20"/>
                <w:szCs w:val="20"/>
                <w:rtl w:val="0"/>
              </w:rPr>
              <w:t xml:space="preserve">3 </w:t>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The study of the biological, intellectual, emotional, personality, and social factors affecting the psychological development of the individual from conception throughout the life span. This course may be used to fulfill teacher certification requirements.</w:t>
            </w:r>
          </w:p>
        </w:tc>
      </w:tr>
      <w:tr>
        <w:trPr>
          <w:cantSplit w:val="0"/>
          <w:tblHeader w:val="0"/>
        </w:trPr>
        <w:tc>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SOC 201</w:t>
            </w:r>
          </w:p>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Introduction to Sociology</w:t>
            </w:r>
          </w:p>
        </w:tc>
        <w:tc>
          <w:tcPr/>
          <w:p w:rsidR="00000000" w:rsidDel="00000000" w:rsidP="00000000" w:rsidRDefault="00000000" w:rsidRPr="00000000" w14:paraId="00000040">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An introduction to the scientific study of human society. This course provides a foundation of basic theories and research methods that influence the study of culture, socialization, stratification, deviance and social institutions.</w:t>
            </w:r>
          </w:p>
        </w:tc>
      </w:tr>
      <w:tr>
        <w:trPr>
          <w:cantSplit w:val="0"/>
          <w:trHeight w:val="660" w:hRule="atLeast"/>
          <w:tblHeader w:val="0"/>
        </w:trPr>
        <w:tc>
          <w:tcPr>
            <w:gridSpan w:val="3"/>
            <w:shd w:fill="d9ead3" w:val="clear"/>
          </w:tcPr>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Investigation of the Natural World</w:t>
            </w:r>
          </w:p>
          <w:p w:rsidR="00000000" w:rsidDel="00000000" w:rsidP="00000000" w:rsidRDefault="00000000" w:rsidRPr="00000000" w14:paraId="00000043">
            <w:pPr>
              <w:jc w:val="center"/>
              <w:rPr>
                <w:sz w:val="24"/>
                <w:szCs w:val="24"/>
              </w:rPr>
            </w:pP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(8 Credits)</w:t>
            </w: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BIO 101</w:t>
            </w:r>
          </w:p>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General Biology Lecture</w:t>
            </w:r>
          </w:p>
        </w:tc>
        <w:tc>
          <w:tcPr/>
          <w:p w:rsidR="00000000" w:rsidDel="00000000" w:rsidP="00000000" w:rsidRDefault="00000000" w:rsidRPr="00000000" w14:paraId="00000048">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Lecture and lab must be completed in order to meet the core curriculum requirements in the natural sciences. The course covers the scientific method; basic chemistry; molecular biology; genetics; evolution, the structure and function of cells, tissues, organ systems, and organisms; biodiversity; and ecology.</w:t>
            </w:r>
          </w:p>
        </w:tc>
      </w:tr>
      <w:tr>
        <w:trPr>
          <w:cantSplit w:val="0"/>
          <w:tblHeader w:val="0"/>
        </w:trPr>
        <w:tc>
          <w:tcPr/>
          <w:p w:rsidR="00000000" w:rsidDel="00000000" w:rsidP="00000000" w:rsidRDefault="00000000" w:rsidRPr="00000000" w14:paraId="0000004A">
            <w:pPr>
              <w:jc w:val="center"/>
              <w:rPr>
                <w:sz w:val="20"/>
                <w:szCs w:val="20"/>
              </w:rPr>
            </w:pPr>
            <w:r w:rsidDel="00000000" w:rsidR="00000000" w:rsidRPr="00000000">
              <w:rPr>
                <w:sz w:val="20"/>
                <w:szCs w:val="20"/>
                <w:rtl w:val="0"/>
              </w:rPr>
              <w:t xml:space="preserve">BIO 101 LAB</w:t>
            </w:r>
          </w:p>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General Biology Lab</w:t>
            </w:r>
          </w:p>
        </w:tc>
        <w:tc>
          <w:tcPr/>
          <w:p w:rsidR="00000000" w:rsidDel="00000000" w:rsidP="00000000" w:rsidRDefault="00000000" w:rsidRPr="00000000" w14:paraId="0000004C">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Students must have completed or be concurrently enrolled in the corresponding biology lecture.</w:t>
            </w:r>
          </w:p>
          <w:p w:rsidR="00000000" w:rsidDel="00000000" w:rsidP="00000000" w:rsidRDefault="00000000" w:rsidRPr="00000000" w14:paraId="0000004E">
            <w:pPr>
              <w:rPr>
                <w:sz w:val="20"/>
                <w:szCs w:val="20"/>
              </w:rPr>
            </w:pPr>
            <w:r w:rsidDel="00000000" w:rsidR="00000000" w:rsidRPr="00000000">
              <w:rPr>
                <w:sz w:val="20"/>
                <w:szCs w:val="20"/>
                <w:rtl w:val="0"/>
              </w:rPr>
              <w:t xml:space="preserve">Laboratory work emphasizes the principles discussed in lecture.</w:t>
            </w:r>
          </w:p>
        </w:tc>
      </w:tr>
      <w:tr>
        <w:trPr>
          <w:cantSplit w:val="0"/>
          <w:tblHeader w:val="0"/>
        </w:trPr>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Science Lecture</w:t>
            </w:r>
          </w:p>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Science Lab</w:t>
            </w:r>
          </w:p>
        </w:tc>
        <w:tc>
          <w:tcPr/>
          <w:p w:rsidR="00000000" w:rsidDel="00000000" w:rsidP="00000000" w:rsidRDefault="00000000" w:rsidRPr="00000000" w14:paraId="00000051">
            <w:pPr>
              <w:jc w:val="center"/>
              <w:rPr>
                <w:b w:val="1"/>
                <w:sz w:val="20"/>
                <w:szCs w:val="20"/>
              </w:rPr>
            </w:pPr>
            <w:r w:rsidDel="00000000" w:rsidR="00000000" w:rsidRPr="00000000">
              <w:rPr>
                <w:b w:val="1"/>
                <w:sz w:val="20"/>
                <w:szCs w:val="20"/>
                <w:rtl w:val="0"/>
              </w:rPr>
              <w:t xml:space="preserve">3</w:t>
            </w:r>
          </w:p>
          <w:p w:rsidR="00000000" w:rsidDel="00000000" w:rsidP="00000000" w:rsidRDefault="00000000" w:rsidRPr="00000000" w14:paraId="00000052">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053">
            <w:pPr>
              <w:rPr>
                <w:sz w:val="20"/>
                <w:szCs w:val="20"/>
              </w:rPr>
            </w:pPr>
            <w:r w:rsidDel="00000000" w:rsidR="00000000" w:rsidRPr="00000000">
              <w:rPr>
                <w:rtl w:val="0"/>
              </w:rPr>
            </w:r>
          </w:p>
        </w:tc>
      </w:tr>
      <w:tr>
        <w:trPr>
          <w:cantSplit w:val="0"/>
          <w:trHeight w:val="200" w:hRule="atLeast"/>
          <w:tblHeader w:val="0"/>
        </w:trPr>
        <w:tc>
          <w:tcPr>
            <w:gridSpan w:val="3"/>
            <w:shd w:fill="d9ead3" w:val="clear"/>
          </w:tcPr>
          <w:p w:rsidR="00000000" w:rsidDel="00000000" w:rsidP="00000000" w:rsidRDefault="00000000" w:rsidRPr="00000000" w14:paraId="00000054">
            <w:pPr>
              <w:jc w:val="center"/>
              <w:rPr>
                <w:sz w:val="24"/>
                <w:szCs w:val="24"/>
              </w:rPr>
            </w:pPr>
            <w:r w:rsidDel="00000000" w:rsidR="00000000" w:rsidRPr="00000000">
              <w:rPr>
                <w:b w:val="1"/>
                <w:sz w:val="24"/>
                <w:szCs w:val="24"/>
                <w:rtl w:val="0"/>
              </w:rPr>
              <w:t xml:space="preserve">Quantitative &amp; Symbolic Reasoning</w:t>
            </w:r>
            <w:r w:rsidDel="00000000" w:rsidR="00000000" w:rsidRPr="00000000">
              <w:rPr>
                <w:sz w:val="24"/>
                <w:szCs w:val="24"/>
                <w:rtl w:val="0"/>
              </w:rPr>
              <w:t xml:space="preserve"> </w:t>
            </w:r>
          </w:p>
          <w:p w:rsidR="00000000" w:rsidDel="00000000" w:rsidP="00000000" w:rsidRDefault="00000000" w:rsidRPr="00000000" w14:paraId="00000055">
            <w:pPr>
              <w:jc w:val="center"/>
              <w:rPr>
                <w:sz w:val="24"/>
                <w:szCs w:val="24"/>
              </w:rPr>
            </w:pPr>
            <w:r w:rsidDel="00000000" w:rsidR="00000000" w:rsidRPr="00000000">
              <w:rPr>
                <w:b w:val="1"/>
                <w:sz w:val="24"/>
                <w:szCs w:val="24"/>
                <w:highlight w:val="yellow"/>
                <w:rtl w:val="0"/>
              </w:rPr>
              <w:t xml:space="preserve">(6 Credits)</w:t>
            </w: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MATH 110 or Higher</w:t>
            </w:r>
          </w:p>
          <w:p w:rsidR="00000000" w:rsidDel="00000000" w:rsidP="00000000" w:rsidRDefault="00000000" w:rsidRPr="00000000" w14:paraId="00000059">
            <w:pPr>
              <w:jc w:val="center"/>
              <w:rPr>
                <w:sz w:val="20"/>
                <w:szCs w:val="20"/>
              </w:rPr>
            </w:pPr>
            <w:r w:rsidDel="00000000" w:rsidR="00000000" w:rsidRPr="00000000">
              <w:rPr>
                <w:rtl w:val="0"/>
              </w:rPr>
            </w:r>
          </w:p>
        </w:tc>
        <w:tc>
          <w:tcPr/>
          <w:p w:rsidR="00000000" w:rsidDel="00000000" w:rsidP="00000000" w:rsidRDefault="00000000" w:rsidRPr="00000000" w14:paraId="0000005A">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This course is designed primarily for the liberal arts student and will transfer as fulfilling the mathematics requirement at some four-year institutions, but not at others. It is intended to give the student an appreciation of the wide applicability of mathematics to many fields of study. Topics include quantitative reasoning and numeracy, mathematical models, statistical reasoning, patterns in nature, voting schemes, and fair division schemes.</w:t>
            </w:r>
          </w:p>
        </w:tc>
      </w:tr>
      <w:tr>
        <w:trPr>
          <w:cantSplit w:val="0"/>
          <w:tblHeader w:val="0"/>
        </w:trPr>
        <w:tc>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MATH 217</w:t>
            </w:r>
          </w:p>
        </w:tc>
        <w:tc>
          <w:tcPr/>
          <w:p w:rsidR="00000000" w:rsidDel="00000000" w:rsidP="00000000" w:rsidRDefault="00000000" w:rsidRPr="00000000" w14:paraId="0000005D">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5E">
            <w:pPr>
              <w:rPr>
                <w:sz w:val="20"/>
                <w:szCs w:val="20"/>
              </w:rPr>
            </w:pPr>
            <w:r w:rsidDel="00000000" w:rsidR="00000000" w:rsidRPr="00000000">
              <w:rPr>
                <w:sz w:val="20"/>
                <w:szCs w:val="20"/>
                <w:rtl w:val="0"/>
              </w:rPr>
              <w:t xml:space="preserve">This course is designed primarily for the liberal arts student and will transfer as fulfilling the mathematics requirement at some four-year institutions, but not at others. It is intended to give the student an appreciation of the wide applicability of mathematics to many fields of study. Topics include quantitative reasoning and numeracy, mathematical models, statistical reasoning, patterns in nature, voting schemes, and fair division schemes.</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3"/>
        <w:tblW w:w="9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005"/>
        <w:gridCol w:w="5820"/>
        <w:tblGridChange w:id="0">
          <w:tblGrid>
            <w:gridCol w:w="2790"/>
            <w:gridCol w:w="1005"/>
            <w:gridCol w:w="5820"/>
          </w:tblGrid>
        </w:tblGridChange>
      </w:tblGrid>
      <w:tr>
        <w:trPr>
          <w:cantSplit w:val="0"/>
          <w:tblHeader w:val="0"/>
        </w:trPr>
        <w:tc>
          <w:tcPr>
            <w:shd w:fill="38761d" w:val="clear"/>
          </w:tcPr>
          <w:p w:rsidR="00000000" w:rsidDel="00000000" w:rsidP="00000000" w:rsidRDefault="00000000" w:rsidRPr="00000000" w14:paraId="00000063">
            <w:pPr>
              <w:jc w:val="center"/>
              <w:rPr>
                <w:b w:val="1"/>
                <w:color w:val="ffffff"/>
                <w:sz w:val="24"/>
                <w:szCs w:val="24"/>
              </w:rPr>
            </w:pPr>
            <w:r w:rsidDel="00000000" w:rsidR="00000000" w:rsidRPr="00000000">
              <w:rPr>
                <w:b w:val="1"/>
                <w:color w:val="ffffff"/>
                <w:sz w:val="24"/>
                <w:szCs w:val="24"/>
                <w:rtl w:val="0"/>
              </w:rPr>
              <w:t xml:space="preserve">Discipline</w:t>
            </w:r>
          </w:p>
        </w:tc>
        <w:tc>
          <w:tcPr>
            <w:shd w:fill="38761d" w:val="clear"/>
          </w:tcPr>
          <w:p w:rsidR="00000000" w:rsidDel="00000000" w:rsidP="00000000" w:rsidRDefault="00000000" w:rsidRPr="00000000" w14:paraId="00000064">
            <w:pPr>
              <w:rPr>
                <w:b w:val="1"/>
                <w:color w:val="ffffff"/>
                <w:sz w:val="24"/>
                <w:szCs w:val="24"/>
              </w:rPr>
            </w:pPr>
            <w:r w:rsidDel="00000000" w:rsidR="00000000" w:rsidRPr="00000000">
              <w:rPr>
                <w:b w:val="1"/>
                <w:color w:val="ffffff"/>
                <w:sz w:val="24"/>
                <w:szCs w:val="24"/>
                <w:rtl w:val="0"/>
              </w:rPr>
              <w:t xml:space="preserve">Credits</w:t>
            </w:r>
          </w:p>
        </w:tc>
        <w:tc>
          <w:tcPr>
            <w:shd w:fill="38761d" w:val="clear"/>
          </w:tcPr>
          <w:p w:rsidR="00000000" w:rsidDel="00000000" w:rsidP="00000000" w:rsidRDefault="00000000" w:rsidRPr="00000000" w14:paraId="00000065">
            <w:pPr>
              <w:jc w:val="center"/>
              <w:rPr>
                <w:b w:val="1"/>
                <w:color w:val="ffffff"/>
                <w:sz w:val="24"/>
                <w:szCs w:val="24"/>
              </w:rPr>
            </w:pPr>
            <w:r w:rsidDel="00000000" w:rsidR="00000000" w:rsidRPr="00000000">
              <w:rPr>
                <w:b w:val="1"/>
                <w:color w:val="ffffff"/>
                <w:sz w:val="24"/>
                <w:szCs w:val="24"/>
                <w:rtl w:val="0"/>
              </w:rPr>
              <w:t xml:space="preserve">Course Descriptions</w:t>
            </w:r>
          </w:p>
        </w:tc>
      </w:tr>
      <w:tr>
        <w:trPr>
          <w:cantSplit w:val="0"/>
          <w:trHeight w:val="200" w:hRule="atLeast"/>
          <w:tblHeader w:val="0"/>
        </w:trPr>
        <w:tc>
          <w:tcPr>
            <w:gridSpan w:val="3"/>
            <w:shd w:fill="d9ead3" w:val="clear"/>
          </w:tcPr>
          <w:p w:rsidR="00000000" w:rsidDel="00000000" w:rsidP="00000000" w:rsidRDefault="00000000" w:rsidRPr="00000000" w14:paraId="00000066">
            <w:pPr>
              <w:jc w:val="center"/>
              <w:rPr>
                <w:b w:val="1"/>
                <w:sz w:val="24"/>
                <w:szCs w:val="24"/>
              </w:rPr>
            </w:pPr>
            <w:r w:rsidDel="00000000" w:rsidR="00000000" w:rsidRPr="00000000">
              <w:rPr>
                <w:b w:val="1"/>
                <w:sz w:val="24"/>
                <w:szCs w:val="24"/>
                <w:rtl w:val="0"/>
              </w:rPr>
              <w:t xml:space="preserve">U.S. and World Cultures </w:t>
            </w:r>
          </w:p>
          <w:p w:rsidR="00000000" w:rsidDel="00000000" w:rsidP="00000000" w:rsidRDefault="00000000" w:rsidRPr="00000000" w14:paraId="00000067">
            <w:pPr>
              <w:jc w:val="center"/>
              <w:rPr>
                <w:sz w:val="24"/>
                <w:szCs w:val="24"/>
              </w:rPr>
            </w:pPr>
            <w:r w:rsidDel="00000000" w:rsidR="00000000" w:rsidRPr="00000000">
              <w:rPr>
                <w:b w:val="1"/>
                <w:sz w:val="24"/>
                <w:szCs w:val="24"/>
                <w:highlight w:val="yellow"/>
                <w:rtl w:val="0"/>
              </w:rPr>
              <w:t xml:space="preserve">(Choose 3 Courses - 9 Credits)</w:t>
            </w: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GEO 103 - Required</w:t>
            </w:r>
          </w:p>
          <w:p w:rsidR="00000000" w:rsidDel="00000000" w:rsidP="00000000" w:rsidRDefault="00000000" w:rsidRPr="00000000" w14:paraId="0000006B">
            <w:pPr>
              <w:jc w:val="center"/>
              <w:rPr>
                <w:b w:val="1"/>
                <w:sz w:val="20"/>
                <w:szCs w:val="20"/>
              </w:rPr>
            </w:pPr>
            <w:r w:rsidDel="00000000" w:rsidR="00000000" w:rsidRPr="00000000">
              <w:rPr>
                <w:b w:val="1"/>
                <w:sz w:val="20"/>
                <w:szCs w:val="20"/>
                <w:rtl w:val="0"/>
              </w:rPr>
              <w:t xml:space="preserve">Major World Regions</w:t>
            </w:r>
          </w:p>
          <w:p w:rsidR="00000000" w:rsidDel="00000000" w:rsidP="00000000" w:rsidRDefault="00000000" w:rsidRPr="00000000" w14:paraId="0000006C">
            <w:pPr>
              <w:jc w:val="center"/>
              <w:rPr>
                <w:sz w:val="20"/>
                <w:szCs w:val="20"/>
              </w:rPr>
            </w:pPr>
            <w:r w:rsidDel="00000000" w:rsidR="00000000" w:rsidRPr="00000000">
              <w:rPr>
                <w:rtl w:val="0"/>
              </w:rPr>
            </w:r>
          </w:p>
        </w:tc>
        <w:tc>
          <w:tcPr/>
          <w:p w:rsidR="00000000" w:rsidDel="00000000" w:rsidP="00000000" w:rsidRDefault="00000000" w:rsidRPr="00000000" w14:paraId="0000006D">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6E">
            <w:pPr>
              <w:rPr>
                <w:sz w:val="20"/>
                <w:szCs w:val="20"/>
              </w:rPr>
            </w:pPr>
            <w:r w:rsidDel="00000000" w:rsidR="00000000" w:rsidRPr="00000000">
              <w:rPr>
                <w:sz w:val="20"/>
                <w:szCs w:val="20"/>
                <w:rtl w:val="0"/>
              </w:rPr>
              <w:t xml:space="preserve">The course is structured to address human geography’s core topics: population, cultural patterns and processes, the political organization of space, agricultural and rural land use, industrial and economic development, and cities.</w:t>
            </w:r>
          </w:p>
        </w:tc>
      </w:tr>
      <w:tr>
        <w:trPr>
          <w:cantSplit w:val="0"/>
          <w:tblHeader w:val="0"/>
        </w:trPr>
        <w:tc>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HIST 201</w:t>
            </w:r>
          </w:p>
          <w:p w:rsidR="00000000" w:rsidDel="00000000" w:rsidP="00000000" w:rsidRDefault="00000000" w:rsidRPr="00000000" w14:paraId="00000070">
            <w:pPr>
              <w:jc w:val="center"/>
              <w:rPr>
                <w:b w:val="1"/>
                <w:sz w:val="20"/>
                <w:szCs w:val="20"/>
              </w:rPr>
            </w:pPr>
            <w:r w:rsidDel="00000000" w:rsidR="00000000" w:rsidRPr="00000000">
              <w:rPr>
                <w:b w:val="1"/>
                <w:sz w:val="20"/>
                <w:szCs w:val="20"/>
                <w:rtl w:val="0"/>
              </w:rPr>
              <w:t xml:space="preserve">American History to 1865</w:t>
            </w:r>
          </w:p>
        </w:tc>
        <w:tc>
          <w:tcPr/>
          <w:p w:rsidR="00000000" w:rsidDel="00000000" w:rsidP="00000000" w:rsidRDefault="00000000" w:rsidRPr="00000000" w14:paraId="00000071">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72">
            <w:pPr>
              <w:rPr>
                <w:sz w:val="20"/>
                <w:szCs w:val="20"/>
              </w:rPr>
            </w:pPr>
            <w:r w:rsidDel="00000000" w:rsidR="00000000" w:rsidRPr="00000000">
              <w:rPr>
                <w:sz w:val="20"/>
                <w:szCs w:val="20"/>
                <w:rtl w:val="0"/>
              </w:rPr>
              <w:t xml:space="preserve">A survey of the history of the United States from the period of discovery to 1865. Emphasis will be on the Colonial Era, and the development of democracy and slavery. The course also covers the political and social aspects of American life, the territorial expansion of the United States, and the coming of the Great Rebellion.</w:t>
            </w:r>
          </w:p>
        </w:tc>
      </w:tr>
      <w:tr>
        <w:trPr>
          <w:cantSplit w:val="0"/>
          <w:tblHeader w:val="0"/>
        </w:trPr>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HIST 101</w:t>
            </w:r>
          </w:p>
          <w:p w:rsidR="00000000" w:rsidDel="00000000" w:rsidP="00000000" w:rsidRDefault="00000000" w:rsidRPr="00000000" w14:paraId="00000074">
            <w:pPr>
              <w:jc w:val="center"/>
              <w:rPr>
                <w:b w:val="1"/>
                <w:sz w:val="20"/>
                <w:szCs w:val="20"/>
              </w:rPr>
            </w:pPr>
            <w:r w:rsidDel="00000000" w:rsidR="00000000" w:rsidRPr="00000000">
              <w:rPr>
                <w:b w:val="1"/>
                <w:sz w:val="20"/>
                <w:szCs w:val="20"/>
                <w:rtl w:val="0"/>
              </w:rPr>
              <w:t xml:space="preserve">Western Civilization to 1715</w:t>
            </w:r>
          </w:p>
        </w:tc>
        <w:tc>
          <w:tcPr/>
          <w:p w:rsidR="00000000" w:rsidDel="00000000" w:rsidP="00000000" w:rsidRDefault="00000000" w:rsidRPr="00000000" w14:paraId="00000075">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76">
            <w:pPr>
              <w:rPr>
                <w:sz w:val="20"/>
                <w:szCs w:val="20"/>
              </w:rPr>
            </w:pPr>
            <w:r w:rsidDel="00000000" w:rsidR="00000000" w:rsidRPr="00000000">
              <w:rPr>
                <w:sz w:val="20"/>
                <w:szCs w:val="20"/>
                <w:rtl w:val="0"/>
              </w:rPr>
              <w:t xml:space="preserve">An introduction to the history of Western Civilization from the ancient world to the end of the 17th century. Particular emphasis is placed on political, economic, social and cultural developments and their influence in shaping our contemporary world.</w:t>
            </w:r>
          </w:p>
        </w:tc>
      </w:tr>
      <w:tr>
        <w:trPr>
          <w:cantSplit w:val="0"/>
          <w:tblHeader w:val="0"/>
        </w:trPr>
        <w:tc>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ECON 201</w:t>
            </w:r>
          </w:p>
          <w:p w:rsidR="00000000" w:rsidDel="00000000" w:rsidP="00000000" w:rsidRDefault="00000000" w:rsidRPr="00000000" w14:paraId="00000078">
            <w:pPr>
              <w:jc w:val="center"/>
              <w:rPr>
                <w:b w:val="1"/>
                <w:sz w:val="20"/>
                <w:szCs w:val="20"/>
              </w:rPr>
            </w:pPr>
            <w:r w:rsidDel="00000000" w:rsidR="00000000" w:rsidRPr="00000000">
              <w:rPr>
                <w:b w:val="1"/>
                <w:sz w:val="20"/>
                <w:szCs w:val="20"/>
                <w:rtl w:val="0"/>
              </w:rPr>
              <w:t xml:space="preserve">Principles of Economics</w:t>
            </w:r>
          </w:p>
        </w:tc>
        <w:tc>
          <w:tcPr/>
          <w:p w:rsidR="00000000" w:rsidDel="00000000" w:rsidP="00000000" w:rsidRDefault="00000000" w:rsidRPr="00000000" w14:paraId="00000079">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7A">
            <w:pPr>
              <w:rPr>
                <w:sz w:val="20"/>
                <w:szCs w:val="20"/>
              </w:rPr>
            </w:pPr>
            <w:r w:rsidDel="00000000" w:rsidR="00000000" w:rsidRPr="00000000">
              <w:rPr>
                <w:sz w:val="20"/>
                <w:szCs w:val="20"/>
                <w:rtl w:val="0"/>
              </w:rPr>
              <w:t xml:space="preserve">This is the first of the Principles of Economics sequence. Topics include economic problems of scarcity, theories of money and banking, Keynesian Model, inflation, employment, and economic growth.</w:t>
            </w:r>
          </w:p>
        </w:tc>
      </w:tr>
      <w:tr>
        <w:trPr>
          <w:cantSplit w:val="0"/>
          <w:trHeight w:val="200" w:hRule="atLeast"/>
          <w:tblHeader w:val="0"/>
        </w:trPr>
        <w:tc>
          <w:tcPr>
            <w:gridSpan w:val="3"/>
            <w:shd w:fill="d9ead3"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Computer Proficiency</w:t>
            </w:r>
          </w:p>
          <w:p w:rsidR="00000000" w:rsidDel="00000000" w:rsidP="00000000" w:rsidRDefault="00000000" w:rsidRPr="00000000" w14:paraId="0000007C">
            <w:pPr>
              <w:jc w:val="center"/>
              <w:rPr>
                <w:b w:val="1"/>
                <w:sz w:val="24"/>
                <w:szCs w:val="24"/>
              </w:rPr>
            </w:pPr>
            <w:r w:rsidDel="00000000" w:rsidR="00000000" w:rsidRPr="00000000">
              <w:rPr>
                <w:b w:val="1"/>
                <w:sz w:val="24"/>
                <w:szCs w:val="24"/>
                <w:highlight w:val="yellow"/>
                <w:rtl w:val="0"/>
              </w:rPr>
              <w:t xml:space="preserve">(3 Credits)</w:t>
            </w:r>
            <w:r w:rsidDel="00000000" w:rsidR="00000000" w:rsidRPr="00000000">
              <w:rPr>
                <w:rtl w:val="0"/>
              </w:rPr>
            </w:r>
          </w:p>
        </w:tc>
      </w:tr>
      <w:tr>
        <w:trPr>
          <w:cantSplit w:val="0"/>
          <w:tblHeader w:val="0"/>
        </w:trPr>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CSCI 202</w:t>
            </w:r>
          </w:p>
          <w:p w:rsidR="00000000" w:rsidDel="00000000" w:rsidP="00000000" w:rsidRDefault="00000000" w:rsidRPr="00000000" w14:paraId="00000080">
            <w:pPr>
              <w:jc w:val="center"/>
              <w:rPr>
                <w:b w:val="1"/>
                <w:sz w:val="20"/>
                <w:szCs w:val="20"/>
              </w:rPr>
            </w:pPr>
            <w:r w:rsidDel="00000000" w:rsidR="00000000" w:rsidRPr="00000000">
              <w:rPr>
                <w:b w:val="1"/>
                <w:sz w:val="20"/>
                <w:szCs w:val="20"/>
                <w:rtl w:val="0"/>
              </w:rPr>
              <w:t xml:space="preserve">Computer Applications I</w:t>
            </w:r>
          </w:p>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Or</w:t>
            </w:r>
          </w:p>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CSCI 203</w:t>
            </w:r>
          </w:p>
          <w:p w:rsidR="00000000" w:rsidDel="00000000" w:rsidP="00000000" w:rsidRDefault="00000000" w:rsidRPr="00000000" w14:paraId="00000083">
            <w:pPr>
              <w:jc w:val="center"/>
              <w:rPr>
                <w:b w:val="1"/>
                <w:sz w:val="20"/>
                <w:szCs w:val="20"/>
              </w:rPr>
            </w:pPr>
            <w:r w:rsidDel="00000000" w:rsidR="00000000" w:rsidRPr="00000000">
              <w:rPr>
                <w:b w:val="1"/>
                <w:sz w:val="20"/>
                <w:szCs w:val="20"/>
                <w:rtl w:val="0"/>
              </w:rPr>
              <w:t xml:space="preserve">Computer Applications II</w:t>
            </w:r>
          </w:p>
        </w:tc>
        <w:tc>
          <w:tcPr/>
          <w:p w:rsidR="00000000" w:rsidDel="00000000" w:rsidP="00000000" w:rsidRDefault="00000000" w:rsidRPr="00000000" w14:paraId="00000084">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85">
            <w:pPr>
              <w:rPr>
                <w:sz w:val="20"/>
                <w:szCs w:val="20"/>
              </w:rPr>
            </w:pPr>
            <w:r w:rsidDel="00000000" w:rsidR="00000000" w:rsidRPr="00000000">
              <w:rPr>
                <w:sz w:val="20"/>
                <w:szCs w:val="20"/>
                <w:rtl w:val="0"/>
              </w:rPr>
              <w:t xml:space="preserve">CSCI 202Includes Microsoft Windows, word processing, spreadsheet analysis, presentation graphics, internet exploration, and research.</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CSCI 203 - Advanced Microsoft Office techniques in word processing, spreadsheet analysis, database management and query design, and presentation graphics.</w:t>
            </w:r>
          </w:p>
        </w:tc>
      </w:tr>
      <w:tr>
        <w:trPr>
          <w:cantSplit w:val="0"/>
          <w:trHeight w:val="200" w:hRule="atLeast"/>
          <w:tblHeader w:val="0"/>
        </w:trPr>
        <w:tc>
          <w:tcPr>
            <w:gridSpan w:val="3"/>
            <w:shd w:fill="d9ead3" w:val="clear"/>
          </w:tcPr>
          <w:p w:rsidR="00000000" w:rsidDel="00000000" w:rsidP="00000000" w:rsidRDefault="00000000" w:rsidRPr="00000000" w14:paraId="00000088">
            <w:pPr>
              <w:jc w:val="center"/>
              <w:rPr>
                <w:b w:val="1"/>
                <w:sz w:val="24"/>
                <w:szCs w:val="24"/>
              </w:rPr>
            </w:pPr>
            <w:r w:rsidDel="00000000" w:rsidR="00000000" w:rsidRPr="00000000">
              <w:rPr>
                <w:b w:val="1"/>
                <w:sz w:val="24"/>
                <w:szCs w:val="24"/>
                <w:rtl w:val="0"/>
              </w:rPr>
              <w:t xml:space="preserve">Electives</w:t>
            </w:r>
          </w:p>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(at Least 16 Credits)</w:t>
            </w:r>
            <w:r w:rsidDel="00000000" w:rsidR="00000000" w:rsidRPr="00000000">
              <w:rPr>
                <w:rtl w:val="0"/>
              </w:rPr>
            </w:r>
          </w:p>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*Recommended</w:t>
            </w:r>
          </w:p>
        </w:tc>
      </w:tr>
      <w:tr>
        <w:trPr>
          <w:cantSplit w:val="0"/>
          <w:tblHeader w:val="0"/>
        </w:trPr>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*EDUC 200</w:t>
            </w:r>
          </w:p>
          <w:p w:rsidR="00000000" w:rsidDel="00000000" w:rsidP="00000000" w:rsidRDefault="00000000" w:rsidRPr="00000000" w14:paraId="0000008E">
            <w:pPr>
              <w:jc w:val="center"/>
              <w:rPr>
                <w:sz w:val="20"/>
                <w:szCs w:val="20"/>
              </w:rPr>
            </w:pPr>
            <w:r w:rsidDel="00000000" w:rsidR="00000000" w:rsidRPr="00000000">
              <w:rPr>
                <w:b w:val="1"/>
                <w:sz w:val="20"/>
                <w:szCs w:val="20"/>
                <w:rtl w:val="0"/>
              </w:rPr>
              <w:t xml:space="preserve">Introduction to the Teaching Profession  </w:t>
            </w:r>
            <w:r w:rsidDel="00000000" w:rsidR="00000000" w:rsidRPr="00000000">
              <w:rPr>
                <w:rtl w:val="0"/>
              </w:rPr>
            </w:r>
          </w:p>
          <w:p w:rsidR="00000000" w:rsidDel="00000000" w:rsidP="00000000" w:rsidRDefault="00000000" w:rsidRPr="00000000" w14:paraId="0000008F">
            <w:pPr>
              <w:jc w:val="center"/>
              <w:rPr>
                <w:sz w:val="20"/>
                <w:szCs w:val="20"/>
              </w:rPr>
            </w:pPr>
            <w:r w:rsidDel="00000000" w:rsidR="00000000" w:rsidRPr="00000000">
              <w:rPr>
                <w:rtl w:val="0"/>
              </w:rPr>
            </w:r>
          </w:p>
          <w:p w:rsidR="00000000" w:rsidDel="00000000" w:rsidP="00000000" w:rsidRDefault="00000000" w:rsidRPr="00000000" w14:paraId="00000090">
            <w:pPr>
              <w:jc w:val="center"/>
              <w:rPr>
                <w:sz w:val="20"/>
                <w:szCs w:val="20"/>
              </w:rPr>
            </w:pPr>
            <w:r w:rsidDel="00000000" w:rsidR="00000000" w:rsidRPr="00000000">
              <w:rPr>
                <w:rtl w:val="0"/>
              </w:rPr>
            </w:r>
          </w:p>
          <w:p w:rsidR="00000000" w:rsidDel="00000000" w:rsidP="00000000" w:rsidRDefault="00000000" w:rsidRPr="00000000" w14:paraId="00000091">
            <w:pPr>
              <w:jc w:val="center"/>
              <w:rPr>
                <w:sz w:val="20"/>
                <w:szCs w:val="20"/>
              </w:rPr>
            </w:pPr>
            <w:r w:rsidDel="00000000" w:rsidR="00000000" w:rsidRPr="00000000">
              <w:rPr>
                <w:rtl w:val="0"/>
              </w:rPr>
            </w:r>
          </w:p>
          <w:p w:rsidR="00000000" w:rsidDel="00000000" w:rsidP="00000000" w:rsidRDefault="00000000" w:rsidRPr="00000000" w14:paraId="00000092">
            <w:pPr>
              <w:jc w:val="center"/>
              <w:rPr>
                <w:sz w:val="20"/>
                <w:szCs w:val="20"/>
              </w:rPr>
            </w:pPr>
            <w:r w:rsidDel="00000000" w:rsidR="00000000" w:rsidRPr="00000000">
              <w:rPr>
                <w:rtl w:val="0"/>
              </w:rPr>
            </w:r>
          </w:p>
          <w:p w:rsidR="00000000" w:rsidDel="00000000" w:rsidP="00000000" w:rsidRDefault="00000000" w:rsidRPr="00000000" w14:paraId="00000093">
            <w:pPr>
              <w:jc w:val="center"/>
              <w:rPr>
                <w:sz w:val="20"/>
                <w:szCs w:val="20"/>
              </w:rPr>
            </w:pPr>
            <w:r w:rsidDel="00000000" w:rsidR="00000000" w:rsidRPr="00000000">
              <w:rPr>
                <w:rtl w:val="0"/>
              </w:rPr>
            </w:r>
          </w:p>
          <w:p w:rsidR="00000000" w:rsidDel="00000000" w:rsidP="00000000" w:rsidRDefault="00000000" w:rsidRPr="00000000" w14:paraId="00000094">
            <w:pPr>
              <w:jc w:val="center"/>
              <w:rPr>
                <w:sz w:val="20"/>
                <w:szCs w:val="20"/>
              </w:rPr>
            </w:pPr>
            <w:r w:rsidDel="00000000" w:rsidR="00000000" w:rsidRPr="00000000">
              <w:rPr>
                <w:rtl w:val="0"/>
              </w:rPr>
            </w:r>
          </w:p>
          <w:p w:rsidR="00000000" w:rsidDel="00000000" w:rsidP="00000000" w:rsidRDefault="00000000" w:rsidRPr="00000000" w14:paraId="00000095">
            <w:pPr>
              <w:jc w:val="center"/>
              <w:rPr>
                <w:sz w:val="20"/>
                <w:szCs w:val="20"/>
              </w:rPr>
            </w:pPr>
            <w:r w:rsidDel="00000000" w:rsidR="00000000" w:rsidRPr="00000000">
              <w:rPr>
                <w:rtl w:val="0"/>
              </w:rPr>
            </w:r>
          </w:p>
          <w:p w:rsidR="00000000" w:rsidDel="00000000" w:rsidP="00000000" w:rsidRDefault="00000000" w:rsidRPr="00000000" w14:paraId="00000096">
            <w:pPr>
              <w:jc w:val="center"/>
              <w:rPr>
                <w:sz w:val="20"/>
                <w:szCs w:val="20"/>
              </w:rPr>
            </w:pPr>
            <w:r w:rsidDel="00000000" w:rsidR="00000000" w:rsidRPr="00000000">
              <w:rPr>
                <w:rtl w:val="0"/>
              </w:rPr>
            </w:r>
          </w:p>
          <w:p w:rsidR="00000000" w:rsidDel="00000000" w:rsidP="00000000" w:rsidRDefault="00000000" w:rsidRPr="00000000" w14:paraId="00000097">
            <w:pPr>
              <w:jc w:val="center"/>
              <w:rPr>
                <w:sz w:val="20"/>
                <w:szCs w:val="20"/>
              </w:rPr>
            </w:pPr>
            <w:r w:rsidDel="00000000" w:rsidR="00000000" w:rsidRPr="00000000">
              <w:rPr>
                <w:rtl w:val="0"/>
              </w:rPr>
            </w:r>
          </w:p>
          <w:p w:rsidR="00000000" w:rsidDel="00000000" w:rsidP="00000000" w:rsidRDefault="00000000" w:rsidRPr="00000000" w14:paraId="00000098">
            <w:pPr>
              <w:jc w:val="center"/>
              <w:rPr>
                <w:sz w:val="20"/>
                <w:szCs w:val="20"/>
              </w:rPr>
            </w:pPr>
            <w:r w:rsidDel="00000000" w:rsidR="00000000" w:rsidRPr="00000000">
              <w:rPr>
                <w:rtl w:val="0"/>
              </w:rPr>
            </w:r>
          </w:p>
          <w:p w:rsidR="00000000" w:rsidDel="00000000" w:rsidP="00000000" w:rsidRDefault="00000000" w:rsidRPr="00000000" w14:paraId="00000099">
            <w:pPr>
              <w:jc w:val="center"/>
              <w:rPr>
                <w:sz w:val="20"/>
                <w:szCs w:val="20"/>
              </w:rPr>
            </w:pPr>
            <w:r w:rsidDel="00000000" w:rsidR="00000000" w:rsidRPr="00000000">
              <w:rPr>
                <w:rtl w:val="0"/>
              </w:rPr>
            </w:r>
          </w:p>
          <w:p w:rsidR="00000000" w:rsidDel="00000000" w:rsidP="00000000" w:rsidRDefault="00000000" w:rsidRPr="00000000" w14:paraId="0000009A">
            <w:pPr>
              <w:jc w:val="center"/>
              <w:rPr>
                <w:sz w:val="20"/>
                <w:szCs w:val="20"/>
              </w:rPr>
            </w:pPr>
            <w:r w:rsidDel="00000000" w:rsidR="00000000" w:rsidRPr="00000000">
              <w:rPr>
                <w:rtl w:val="0"/>
              </w:rPr>
            </w:r>
          </w:p>
          <w:p w:rsidR="00000000" w:rsidDel="00000000" w:rsidP="00000000" w:rsidRDefault="00000000" w:rsidRPr="00000000" w14:paraId="0000009B">
            <w:pPr>
              <w:jc w:val="center"/>
              <w:rPr>
                <w:sz w:val="20"/>
                <w:szCs w:val="20"/>
              </w:rPr>
            </w:pPr>
            <w:r w:rsidDel="00000000" w:rsidR="00000000" w:rsidRPr="00000000">
              <w:rPr>
                <w:rtl w:val="0"/>
              </w:rPr>
            </w:r>
          </w:p>
        </w:tc>
        <w:tc>
          <w:tcPr/>
          <w:p w:rsidR="00000000" w:rsidDel="00000000" w:rsidP="00000000" w:rsidRDefault="00000000" w:rsidRPr="00000000" w14:paraId="0000009C">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Provides an overview of the teaching profession and acquaints students with the philosophies and practices of teaching and learning. Consideration will be given to educational research and the dynamics of parental involvement and community agency partnerships to provide an understanding of how schools utilize resources to support and maximize critical thinking, creativity, and collaboration in the classroom.  The design of the K-12 setting along with lesson planning, pedagogy, curriculum, and the integration of technology in learning spaces are observed in relationship to their contribution to knowledge acquisition and skill-building.  Students will gain an understanding of the Virginia Standards of Learning, state assessments, and the professional guidelines and requirements for the teacher license, certification, and endorsement areas. Those completing EDUC 200 are eligible to begin their teaching observation experience or practicum in the local school systems.</w:t>
            </w:r>
          </w:p>
        </w:tc>
      </w:tr>
      <w:tr>
        <w:trPr>
          <w:cantSplit w:val="0"/>
          <w:tblHeader w:val="0"/>
        </w:trPr>
        <w:tc>
          <w:tcPr>
            <w:shd w:fill="38761d" w:val="clear"/>
          </w:tcPr>
          <w:p w:rsidR="00000000" w:rsidDel="00000000" w:rsidP="00000000" w:rsidRDefault="00000000" w:rsidRPr="00000000" w14:paraId="0000009E">
            <w:pPr>
              <w:jc w:val="center"/>
              <w:rPr>
                <w:b w:val="1"/>
                <w:color w:val="ffffff"/>
                <w:sz w:val="24"/>
                <w:szCs w:val="24"/>
              </w:rPr>
            </w:pPr>
            <w:r w:rsidDel="00000000" w:rsidR="00000000" w:rsidRPr="00000000">
              <w:rPr>
                <w:b w:val="1"/>
                <w:color w:val="ffffff"/>
                <w:sz w:val="24"/>
                <w:szCs w:val="24"/>
                <w:rtl w:val="0"/>
              </w:rPr>
              <w:t xml:space="preserve">Discipline</w:t>
            </w:r>
          </w:p>
        </w:tc>
        <w:tc>
          <w:tcPr>
            <w:shd w:fill="38761d" w:val="clear"/>
          </w:tcPr>
          <w:p w:rsidR="00000000" w:rsidDel="00000000" w:rsidP="00000000" w:rsidRDefault="00000000" w:rsidRPr="00000000" w14:paraId="0000009F">
            <w:pPr>
              <w:rPr>
                <w:b w:val="1"/>
                <w:color w:val="ffffff"/>
                <w:sz w:val="24"/>
                <w:szCs w:val="24"/>
              </w:rPr>
            </w:pPr>
            <w:r w:rsidDel="00000000" w:rsidR="00000000" w:rsidRPr="00000000">
              <w:rPr>
                <w:b w:val="1"/>
                <w:color w:val="ffffff"/>
                <w:sz w:val="24"/>
                <w:szCs w:val="24"/>
                <w:rtl w:val="0"/>
              </w:rPr>
              <w:t xml:space="preserve">Credits</w:t>
            </w:r>
          </w:p>
        </w:tc>
        <w:tc>
          <w:tcPr>
            <w:shd w:fill="38761d" w:val="clear"/>
          </w:tcPr>
          <w:p w:rsidR="00000000" w:rsidDel="00000000" w:rsidP="00000000" w:rsidRDefault="00000000" w:rsidRPr="00000000" w14:paraId="000000A0">
            <w:pPr>
              <w:jc w:val="center"/>
              <w:rPr>
                <w:b w:val="1"/>
                <w:color w:val="ffffff"/>
                <w:sz w:val="24"/>
                <w:szCs w:val="24"/>
              </w:rPr>
            </w:pPr>
            <w:r w:rsidDel="00000000" w:rsidR="00000000" w:rsidRPr="00000000">
              <w:rPr>
                <w:b w:val="1"/>
                <w:color w:val="ffffff"/>
                <w:sz w:val="24"/>
                <w:szCs w:val="24"/>
                <w:rtl w:val="0"/>
              </w:rPr>
              <w:t xml:space="preserve">Course Descriptions</w:t>
            </w:r>
          </w:p>
        </w:tc>
      </w:tr>
      <w:tr>
        <w:trPr>
          <w:cantSplit w:val="0"/>
          <w:trHeight w:val="200" w:hRule="atLeast"/>
          <w:tblHeader w:val="0"/>
        </w:trPr>
        <w:tc>
          <w:tcPr>
            <w:gridSpan w:val="3"/>
          </w:tcPr>
          <w:p w:rsidR="00000000" w:rsidDel="00000000" w:rsidP="00000000" w:rsidRDefault="00000000" w:rsidRPr="00000000" w14:paraId="000000A1">
            <w:pPr>
              <w:rPr>
                <w:b w:val="1"/>
                <w:sz w:val="28"/>
                <w:szCs w:val="28"/>
              </w:rPr>
            </w:pPr>
            <w:r w:rsidDel="00000000" w:rsidR="00000000" w:rsidRPr="00000000">
              <w:rPr>
                <w:b w:val="1"/>
                <w:sz w:val="24"/>
                <w:szCs w:val="24"/>
                <w:highlight w:val="yellow"/>
                <w:rtl w:val="0"/>
              </w:rPr>
              <w:t xml:space="preserve">(Choose 3 Courses)</w:t>
            </w:r>
            <w:r w:rsidDel="00000000" w:rsidR="00000000" w:rsidRPr="00000000">
              <w:rPr>
                <w:rtl w:val="0"/>
              </w:rPr>
            </w:r>
          </w:p>
        </w:tc>
      </w:tr>
      <w:tr>
        <w:trPr>
          <w:cantSplit w:val="0"/>
          <w:tblHeader w:val="0"/>
        </w:trPr>
        <w:tc>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EDUC 299</w:t>
            </w:r>
          </w:p>
          <w:p w:rsidR="00000000" w:rsidDel="00000000" w:rsidP="00000000" w:rsidRDefault="00000000" w:rsidRPr="00000000" w14:paraId="000000A5">
            <w:pPr>
              <w:jc w:val="center"/>
              <w:rPr>
                <w:b w:val="1"/>
                <w:sz w:val="20"/>
                <w:szCs w:val="20"/>
              </w:rPr>
            </w:pPr>
            <w:r w:rsidDel="00000000" w:rsidR="00000000" w:rsidRPr="00000000">
              <w:rPr>
                <w:b w:val="1"/>
                <w:sz w:val="20"/>
                <w:szCs w:val="20"/>
                <w:rtl w:val="0"/>
              </w:rPr>
              <w:t xml:space="preserve">Current &amp; Emerging Issues in Education</w:t>
            </w:r>
          </w:p>
          <w:p w:rsidR="00000000" w:rsidDel="00000000" w:rsidP="00000000" w:rsidRDefault="00000000" w:rsidRPr="00000000" w14:paraId="000000A6">
            <w:pPr>
              <w:jc w:val="center"/>
              <w:rPr>
                <w:b w:val="1"/>
                <w:sz w:val="20"/>
                <w:szCs w:val="20"/>
              </w:rPr>
            </w:pPr>
            <w:r w:rsidDel="00000000" w:rsidR="00000000" w:rsidRPr="00000000">
              <w:rPr>
                <w:rtl w:val="0"/>
              </w:rPr>
            </w:r>
          </w:p>
        </w:tc>
        <w:tc>
          <w:tcPr/>
          <w:p w:rsidR="00000000" w:rsidDel="00000000" w:rsidP="00000000" w:rsidRDefault="00000000" w:rsidRPr="00000000" w14:paraId="000000A7">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A8">
            <w:pPr>
              <w:rPr>
                <w:sz w:val="20"/>
                <w:szCs w:val="20"/>
              </w:rPr>
            </w:pPr>
            <w:r w:rsidDel="00000000" w:rsidR="00000000" w:rsidRPr="00000000">
              <w:rPr>
                <w:sz w:val="20"/>
                <w:szCs w:val="20"/>
                <w:rtl w:val="0"/>
              </w:rPr>
              <w:t xml:space="preserve">An examination of the influence of today’s evolving public and private educational systems on the development of the local, national, and global communities. Course dialogue will lead to inquiries into how teachers and school leaders are rethinking and addressing the demographic shifts, gender issues, school reform, and the existing value crises in a complex and continuously changing global context. Organizational transformation and professional accountability in the digital communication and learning era are also considered as schools have become places in which rapid changes intersect and interlock. Students will discover the shifts in educational approaches that offer insight into the myriad of issues facing education.  An observation of the school systems’ dynamics provides opportunities to explore methodologies for knowledge construction and curriculum adjustments that address the federal and state requirements in adaptive learning environmental structures designed to personalize the needs of youths.   </w:t>
            </w:r>
          </w:p>
          <w:p w:rsidR="00000000" w:rsidDel="00000000" w:rsidP="00000000" w:rsidRDefault="00000000" w:rsidRPr="00000000" w14:paraId="000000A9">
            <w:pPr>
              <w:rPr>
                <w:sz w:val="20"/>
                <w:szCs w:val="20"/>
              </w:rPr>
            </w:pPr>
            <w:r w:rsidDel="00000000" w:rsidR="00000000" w:rsidRPr="00000000">
              <w:rPr>
                <w:rtl w:val="0"/>
              </w:rPr>
            </w:r>
          </w:p>
        </w:tc>
      </w:tr>
      <w:tr>
        <w:trPr>
          <w:cantSplit w:val="0"/>
          <w:tblHeader w:val="0"/>
        </w:trPr>
        <w:tc>
          <w:tcPr>
            <w:shd w:fill="f7cbac" w:val="clear"/>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*VSU </w:t>
            </w:r>
          </w:p>
          <w:p w:rsidR="00000000" w:rsidDel="00000000" w:rsidP="00000000" w:rsidRDefault="00000000" w:rsidRPr="00000000" w14:paraId="000000AB">
            <w:pPr>
              <w:jc w:val="center"/>
              <w:rPr>
                <w:color w:val="ff0000"/>
                <w:sz w:val="20"/>
                <w:szCs w:val="20"/>
              </w:rPr>
            </w:pPr>
            <w:r w:rsidDel="00000000" w:rsidR="00000000" w:rsidRPr="00000000">
              <w:rPr>
                <w:sz w:val="20"/>
                <w:szCs w:val="20"/>
                <w:rtl w:val="0"/>
              </w:rPr>
              <w:t xml:space="preserve">SURVEY OF SPECIAL EDUCATION</w:t>
            </w:r>
            <w:r w:rsidDel="00000000" w:rsidR="00000000" w:rsidRPr="00000000">
              <w:rPr>
                <w:rtl w:val="0"/>
              </w:rPr>
            </w:r>
          </w:p>
        </w:tc>
        <w:tc>
          <w:tcPr/>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AD">
            <w:pPr>
              <w:rPr>
                <w:sz w:val="20"/>
                <w:szCs w:val="20"/>
              </w:rPr>
            </w:pPr>
            <w:r w:rsidDel="00000000" w:rsidR="00000000" w:rsidRPr="00000000">
              <w:rPr>
                <w:rtl w:val="0"/>
              </w:rPr>
            </w:r>
          </w:p>
        </w:tc>
      </w:tr>
      <w:tr>
        <w:trPr>
          <w:cantSplit w:val="0"/>
          <w:tblHeader w:val="0"/>
        </w:trPr>
        <w:tc>
          <w:tcPr>
            <w:shd w:fill="f7cbac" w:val="clear"/>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*VSU </w:t>
            </w:r>
          </w:p>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 Education Technology</w:t>
            </w:r>
          </w:p>
        </w:tc>
        <w:tc>
          <w:tcPr/>
          <w:p w:rsidR="00000000" w:rsidDel="00000000" w:rsidP="00000000" w:rsidRDefault="00000000" w:rsidRPr="00000000" w14:paraId="000000B0">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B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HLTH 225</w:t>
            </w:r>
          </w:p>
          <w:p w:rsidR="00000000" w:rsidDel="00000000" w:rsidP="00000000" w:rsidRDefault="00000000" w:rsidRPr="00000000" w14:paraId="000000B3">
            <w:pPr>
              <w:jc w:val="center"/>
              <w:rPr>
                <w:b w:val="1"/>
                <w:sz w:val="20"/>
                <w:szCs w:val="20"/>
              </w:rPr>
            </w:pPr>
            <w:r w:rsidDel="00000000" w:rsidR="00000000" w:rsidRPr="00000000">
              <w:rPr>
                <w:b w:val="1"/>
                <w:sz w:val="20"/>
                <w:szCs w:val="20"/>
                <w:rtl w:val="0"/>
              </w:rPr>
              <w:t xml:space="preserve">Health &amp; Wellness</w:t>
            </w:r>
          </w:p>
          <w:p w:rsidR="00000000" w:rsidDel="00000000" w:rsidP="00000000" w:rsidRDefault="00000000" w:rsidRPr="00000000" w14:paraId="000000B4">
            <w:pPr>
              <w:jc w:val="center"/>
              <w:rPr>
                <w:sz w:val="20"/>
                <w:szCs w:val="20"/>
              </w:rPr>
            </w:pPr>
            <w:r w:rsidDel="00000000" w:rsidR="00000000" w:rsidRPr="00000000">
              <w:rPr>
                <w:rtl w:val="0"/>
              </w:rPr>
            </w:r>
          </w:p>
        </w:tc>
        <w:tc>
          <w:tcPr/>
          <w:p w:rsidR="00000000" w:rsidDel="00000000" w:rsidP="00000000" w:rsidRDefault="00000000" w:rsidRPr="00000000" w14:paraId="000000B5">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A survey of principles for promoting and developing positive health attitudes and practices. Topics include emotional wellness, physical fitness, nutrition, weight management, addictive substances, chronic and infectious diseases, sexuality, and environmental health concerns.</w:t>
            </w:r>
          </w:p>
        </w:tc>
      </w:tr>
      <w:tr>
        <w:trPr>
          <w:cantSplit w:val="0"/>
          <w:tblHeader w:val="0"/>
        </w:trPr>
        <w:tc>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MATH 151</w:t>
            </w:r>
          </w:p>
          <w:p w:rsidR="00000000" w:rsidDel="00000000" w:rsidP="00000000" w:rsidRDefault="00000000" w:rsidRPr="00000000" w14:paraId="000000B8">
            <w:pPr>
              <w:jc w:val="center"/>
              <w:rPr>
                <w:b w:val="1"/>
                <w:sz w:val="20"/>
                <w:szCs w:val="20"/>
              </w:rPr>
            </w:pPr>
            <w:r w:rsidDel="00000000" w:rsidR="00000000" w:rsidRPr="00000000">
              <w:rPr>
                <w:b w:val="1"/>
                <w:sz w:val="20"/>
                <w:szCs w:val="20"/>
                <w:rtl w:val="0"/>
              </w:rPr>
              <w:t xml:space="preserve">Pre-Calculus</w:t>
            </w:r>
          </w:p>
        </w:tc>
        <w:tc>
          <w:tcPr/>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This course is designed for students who are planning to take the calculus sequence.  Topics include functions and graphs, polynomial and rational functions, exponential and logarithmic functions, trigonometric functions, analytic trigonometry, applications of trigonometry and an introduction to limits.</w:t>
            </w:r>
          </w:p>
        </w:tc>
      </w:tr>
      <w:tr>
        <w:trPr>
          <w:cantSplit w:val="0"/>
          <w:tblHeader w:val="0"/>
        </w:trPr>
        <w:tc>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Elective</w:t>
            </w:r>
          </w:p>
          <w:p w:rsidR="00000000" w:rsidDel="00000000" w:rsidP="00000000" w:rsidRDefault="00000000" w:rsidRPr="00000000" w14:paraId="000000BC">
            <w:pPr>
              <w:jc w:val="center"/>
              <w:rPr>
                <w:sz w:val="20"/>
                <w:szCs w:val="20"/>
              </w:rPr>
            </w:pPr>
            <w:r w:rsidDel="00000000" w:rsidR="00000000" w:rsidRPr="00000000">
              <w:rPr>
                <w:rtl w:val="0"/>
              </w:rPr>
            </w:r>
          </w:p>
        </w:tc>
        <w:tc>
          <w:tcPr/>
          <w:p w:rsidR="00000000" w:rsidDel="00000000" w:rsidP="00000000" w:rsidRDefault="00000000" w:rsidRPr="00000000" w14:paraId="000000BD">
            <w:pPr>
              <w:jc w:val="center"/>
              <w:rPr>
                <w:b w:val="1"/>
                <w:sz w:val="20"/>
                <w:szCs w:val="20"/>
              </w:rPr>
            </w:pPr>
            <w:r w:rsidDel="00000000" w:rsidR="00000000" w:rsidRPr="00000000">
              <w:rPr>
                <w:b w:val="1"/>
                <w:sz w:val="20"/>
                <w:szCs w:val="20"/>
                <w:rtl w:val="0"/>
              </w:rPr>
              <w:t xml:space="preserve">2 </w:t>
            </w:r>
          </w:p>
        </w:tc>
        <w:tc>
          <w:tcPr/>
          <w:p w:rsidR="00000000" w:rsidDel="00000000" w:rsidP="00000000" w:rsidRDefault="00000000" w:rsidRPr="00000000" w14:paraId="000000BE">
            <w:pPr>
              <w:rPr>
                <w:sz w:val="20"/>
                <w:szCs w:val="20"/>
              </w:rPr>
            </w:pPr>
            <w:r w:rsidDel="00000000" w:rsidR="00000000" w:rsidRPr="00000000">
              <w:rPr>
                <w:sz w:val="20"/>
                <w:szCs w:val="20"/>
                <w:rtl w:val="0"/>
              </w:rPr>
              <w:t xml:space="preserve">RBC courses needed to complement the education program at the student’s transfer institution.</w:t>
            </w:r>
          </w:p>
        </w:tc>
      </w:tr>
      <w:tr>
        <w:trPr>
          <w:cantSplit w:val="0"/>
          <w:tblHeader w:val="0"/>
        </w:trPr>
        <w:tc>
          <w:tcPr/>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0">
            <w:pPr>
              <w:jc w:val="center"/>
              <w:rPr>
                <w:b w:val="1"/>
                <w:sz w:val="20"/>
                <w:szCs w:val="20"/>
              </w:rPr>
            </w:pPr>
            <w:r w:rsidDel="00000000" w:rsidR="00000000" w:rsidRPr="00000000">
              <w:rPr>
                <w:b w:val="1"/>
                <w:sz w:val="20"/>
                <w:szCs w:val="20"/>
                <w:rtl w:val="0"/>
              </w:rPr>
              <w:t xml:space="preserve">1-2</w:t>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RBC courses needed to complement the education program at the student’s transfer institution.</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sz w:val="44"/>
          <w:szCs w:val="44"/>
        </w:rPr>
      </w:pPr>
      <w:r w:rsidDel="00000000" w:rsidR="00000000" w:rsidRPr="00000000">
        <w:rPr>
          <w:b w:val="1"/>
          <w:sz w:val="44"/>
          <w:szCs w:val="44"/>
          <w:rtl w:val="0"/>
        </w:rPr>
        <w:t xml:space="preserve">Total:  60 Credits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center"/>
      <w:rPr>
        <w:b w:val="1"/>
        <w:sz w:val="28"/>
        <w:szCs w:val="28"/>
      </w:rPr>
    </w:pPr>
    <w:r w:rsidDel="00000000" w:rsidR="00000000" w:rsidRPr="00000000">
      <w:rPr>
        <w:b w:val="1"/>
        <w:sz w:val="28"/>
        <w:szCs w:val="28"/>
        <w:rtl w:val="0"/>
      </w:rPr>
      <w:t xml:space="preserve">RBC &amp; VSU Proposed Pathway for Education Majors</w:t>
    </w:r>
  </w:p>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420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5420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C777B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4pKcVQYAfCFTJdojC275kct7KA==">AMUW2mXbI5qkHd0VYKSWJ1scyXeUChV/BETLMoY85BYrQaztHEVmOrgi3aUncGNeUGzZ4ri6bPATsFnIUCzEsZyRV+YOblsPYsxrhkh6x7PrfDWeLxBS3uk=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2022-08-09T18:32:00Z</dcterms:created>
  <dc:creator>Evanda Watts-Martinez</dc:creator>
</cp:coreProperties>
</file>